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1C" w:rsidRPr="00314EE4" w:rsidRDefault="00314EE4" w:rsidP="00BB1D1C">
      <w:pPr>
        <w:pStyle w:val="1"/>
        <w:spacing w:before="0" w:beforeAutospacing="0" w:after="0" w:afterAutospacing="0"/>
        <w:ind w:firstLine="340"/>
        <w:jc w:val="center"/>
        <w:rPr>
          <w:sz w:val="20"/>
          <w:szCs w:val="20"/>
          <w:lang w:val="kk-KZ"/>
        </w:rPr>
      </w:pPr>
      <w:r w:rsidRPr="00314EE4">
        <w:rPr>
          <w:i/>
          <w:iCs/>
          <w:sz w:val="20"/>
          <w:szCs w:val="20"/>
        </w:rPr>
        <w:t xml:space="preserve">5B010800 Физическая культура и </w:t>
      </w:r>
      <w:r>
        <w:rPr>
          <w:i/>
          <w:iCs/>
          <w:sz w:val="20"/>
          <w:szCs w:val="20"/>
        </w:rPr>
        <w:t>спорт,</w:t>
      </w:r>
      <w:r w:rsidRPr="00314EE4">
        <w:rPr>
          <w:sz w:val="20"/>
          <w:szCs w:val="20"/>
        </w:rPr>
        <w:br/>
      </w:r>
      <w:r w:rsidRPr="00314EE4">
        <w:rPr>
          <w:i/>
          <w:iCs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0.5pt;height:18pt" o:ole="">
            <v:imagedata r:id="rId5" o:title=""/>
          </v:shape>
          <w:control r:id="rId6" w:name="DefaultOcxName" w:shapeid="_x0000_i1071"/>
        </w:object>
      </w:r>
    </w:p>
    <w:p w:rsidR="00314EE4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BB1D1C" w:rsidRPr="00954A7D" w:rsidRDefault="00BB1D1C" w:rsidP="00314EE4">
      <w:pPr>
        <w:pStyle w:val="1"/>
        <w:spacing w:before="0" w:beforeAutospacing="0" w:after="0" w:afterAutospacing="0"/>
        <w:ind w:firstLine="340"/>
        <w:jc w:val="right"/>
        <w:rPr>
          <w:bCs w:val="0"/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9745E5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bCs/>
          <w:sz w:val="24"/>
          <w:szCs w:val="24"/>
        </w:rPr>
        <w:t xml:space="preserve">акультет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Масалимова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9745E5">
        <w:rPr>
          <w:rFonts w:ascii="Times New Roman" w:hAnsi="Times New Roman"/>
          <w:sz w:val="24"/>
          <w:szCs w:val="24"/>
          <w:lang w:val="kk-KZ"/>
        </w:rPr>
        <w:t>/б), 2 курс, күзгі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2A4D93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Асқар Л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>.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 Кандидаты, доцент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 w:rsidR="002A4D93">
        <w:rPr>
          <w:rFonts w:ascii="Times New Roman" w:hAnsi="Times New Roman"/>
          <w:smallCaps/>
          <w:sz w:val="20"/>
          <w:szCs w:val="20"/>
          <w:lang w:val="kk-KZ"/>
        </w:rPr>
        <w:t>8 701 478 97 44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2C48D6"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="002C48D6">
        <w:rPr>
          <w:rFonts w:ascii="Times New Roman" w:hAnsi="Times New Roman"/>
          <w:smallCaps/>
          <w:sz w:val="20"/>
          <w:szCs w:val="20"/>
          <w:lang w:val="en-US"/>
        </w:rPr>
        <w:t xml:space="preserve">Askar.leskhan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745E5" w:rsidRDefault="00B65F43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A4D93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Асқар Л.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 кандидаты, доцент </w:t>
      </w:r>
    </w:p>
    <w:p w:rsidR="002A4D93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8 701 478 97 44</w:t>
      </w:r>
    </w:p>
    <w:p w:rsidR="002A4D93" w:rsidRPr="002C48D6" w:rsidRDefault="002A4D93" w:rsidP="002C48D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en-US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2C48D6">
        <w:rPr>
          <w:rFonts w:ascii="Times New Roman" w:hAnsi="Times New Roman"/>
          <w:smallCaps/>
          <w:sz w:val="20"/>
          <w:szCs w:val="20"/>
          <w:lang w:val="en-US"/>
        </w:rPr>
        <w:t xml:space="preserve">Askar.leskhan </w:t>
      </w:r>
      <w:r w:rsidR="002C48D6"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2A4D93" w:rsidRPr="00A35916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Pr="009745E5" w:rsidRDefault="009745E5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lastRenderedPageBreak/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r w:rsidRPr="00954A7D">
              <w:rPr>
                <w:b/>
                <w:shd w:val="clear" w:color="auto" w:fill="FFFFFF"/>
              </w:rPr>
              <w:t xml:space="preserve">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28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745E5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r w:rsidRPr="00954A7D">
              <w:t xml:space="preserve">мпиризм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мпиризм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39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r w:rsidRPr="00954A7D">
              <w:t>ерменевтик</w:t>
            </w:r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феноменологи</w:t>
            </w:r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9745E5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="009745E5">
              <w:rPr>
                <w:sz w:val="24"/>
                <w:szCs w:val="24"/>
                <w:lang w:val="kk-KZ"/>
              </w:rPr>
              <w:t>.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75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қозғалыс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9745E5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</w:trPr>
        <w:tc>
          <w:tcPr>
            <w:tcW w:w="709" w:type="dxa"/>
            <w:vMerge/>
          </w:tcPr>
          <w:p w:rsidR="009745E5" w:rsidRPr="00954A7D" w:rsidRDefault="009745E5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47217" w:rsidRDefault="00147217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Не 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  <w:t>Асқар Л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BB1D1C"/>
    <w:rsid w:val="00022236"/>
    <w:rsid w:val="00072F45"/>
    <w:rsid w:val="00147217"/>
    <w:rsid w:val="001C1FB1"/>
    <w:rsid w:val="0020604B"/>
    <w:rsid w:val="002A4D93"/>
    <w:rsid w:val="002C48D6"/>
    <w:rsid w:val="002D6D72"/>
    <w:rsid w:val="00314EE4"/>
    <w:rsid w:val="00361DF4"/>
    <w:rsid w:val="004A6113"/>
    <w:rsid w:val="004B47A7"/>
    <w:rsid w:val="004D67BB"/>
    <w:rsid w:val="00606E8D"/>
    <w:rsid w:val="006A5112"/>
    <w:rsid w:val="008419AF"/>
    <w:rsid w:val="008C272C"/>
    <w:rsid w:val="009745E5"/>
    <w:rsid w:val="00A5467E"/>
    <w:rsid w:val="00B43141"/>
    <w:rsid w:val="00B65F43"/>
    <w:rsid w:val="00BB1D1C"/>
    <w:rsid w:val="00CA7749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dcterms:created xsi:type="dcterms:W3CDTF">2015-01-16T13:26:00Z</dcterms:created>
  <dcterms:modified xsi:type="dcterms:W3CDTF">2015-09-07T08:39:00Z</dcterms:modified>
</cp:coreProperties>
</file>